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030314"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60473B" w:rsidRPr="0060473B" w:rsidRDefault="0060473B" w:rsidP="0060473B">
      <w:pPr>
        <w:spacing w:after="0" w:line="240" w:lineRule="auto"/>
        <w:jc w:val="both"/>
        <w:rPr>
          <w:rFonts w:cs="Calibri"/>
        </w:rPr>
      </w:pPr>
      <w:r w:rsidRPr="0060473B">
        <w:rPr>
          <w:rFonts w:cs="Calibri"/>
        </w:rPr>
        <w:t>Breve descripción de las actividades principales de la entidad.</w:t>
      </w:r>
    </w:p>
    <w:p w:rsidR="007D1E76" w:rsidRPr="00E74967" w:rsidRDefault="0060473B" w:rsidP="0060473B">
      <w:pPr>
        <w:spacing w:after="0" w:line="240" w:lineRule="auto"/>
        <w:jc w:val="both"/>
        <w:rPr>
          <w:rFonts w:cs="Calibri"/>
        </w:rPr>
      </w:pPr>
      <w:r w:rsidRPr="0060473B">
        <w:rPr>
          <w:rFonts w:cs="Calibri"/>
        </w:rPr>
        <w:t>El Sistema DIF León es un organismo público descentralizado de la administración municipal el cual se integra por un órgano de gobierno que es el Consejo Directivo, una Dirección General  y nueve direcciones de área;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r>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60473B" w:rsidP="007D1E76">
      <w:pPr>
        <w:spacing w:after="0" w:line="240" w:lineRule="auto"/>
        <w:jc w:val="both"/>
        <w:rPr>
          <w:rFonts w:cs="Calibri"/>
        </w:rPr>
      </w:pPr>
      <w:r w:rsidRPr="0060473B">
        <w:rPr>
          <w:rFonts w:cs="Calibri"/>
        </w:rPr>
        <w:t xml:space="preserve">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w:t>
      </w:r>
      <w:r w:rsidRPr="0060473B">
        <w:rPr>
          <w:rFonts w:cs="Calibri"/>
        </w:rPr>
        <w:lastRenderedPageBreak/>
        <w:t>disminución del efectivo, el Balance General nos muestra la situación financiera de nuestra entidad lo cual contribuye en la toma de decisiones.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60473B" w:rsidP="007D1E76">
      <w:pPr>
        <w:spacing w:after="0" w:line="240" w:lineRule="auto"/>
        <w:jc w:val="both"/>
        <w:rPr>
          <w:rFonts w:cs="Calibri"/>
        </w:rPr>
      </w:pPr>
      <w:r w:rsidRPr="0060473B">
        <w:rPr>
          <w:rFonts w:cs="Calibri"/>
        </w:rP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DIF LEON, mismo que fue publicado en el Periódico Oficial número 65, segunda parte, de fecha 12 de agosto de 1988, entrando en vigor cuatro días después.     </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60473B" w:rsidP="007D1E76">
      <w:pPr>
        <w:spacing w:after="0" w:line="240" w:lineRule="auto"/>
        <w:jc w:val="both"/>
        <w:rPr>
          <w:rFonts w:cs="Calibri"/>
        </w:rPr>
      </w:pPr>
      <w:r w:rsidRPr="0060473B">
        <w:rPr>
          <w:rFonts w:cs="Calibri"/>
        </w:rPr>
        <w:t>Entre las mejoras que se han realizado se encuentra las áreas de Comunicación Social y Relaciones Públicas que pasaron de ser coordinaciones a convertirse en Direcciones de Área,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rsidR="0060473B" w:rsidRPr="00E74967" w:rsidRDefault="0060473B" w:rsidP="007D1E76">
      <w:pPr>
        <w:spacing w:after="0" w:line="240" w:lineRule="auto"/>
        <w:jc w:val="both"/>
        <w:rPr>
          <w:rFonts w:cs="Calibri"/>
        </w:rPr>
      </w:pPr>
      <w:r w:rsidRPr="0060473B">
        <w:rPr>
          <w:rFonts w:cs="Calibri"/>
        </w:rP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60473B" w:rsidP="007D1E76">
      <w:pPr>
        <w:spacing w:after="0" w:line="240" w:lineRule="auto"/>
        <w:jc w:val="both"/>
        <w:rPr>
          <w:rFonts w:cs="Calibri"/>
        </w:rPr>
      </w:pPr>
      <w:r w:rsidRPr="0060473B">
        <w:rPr>
          <w:rFonts w:cs="Calibri"/>
        </w:rP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Pr="00E74967" w:rsidRDefault="00A1690C" w:rsidP="007D1E76">
      <w:pPr>
        <w:spacing w:after="0" w:line="240" w:lineRule="auto"/>
        <w:jc w:val="both"/>
        <w:rPr>
          <w:rFonts w:cs="Calibri"/>
        </w:rPr>
      </w:pPr>
      <w:r w:rsidRPr="00A1690C">
        <w:rPr>
          <w:rFonts w:cs="Calibri"/>
        </w:rP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rsidR="007D1E76" w:rsidRDefault="001750BF" w:rsidP="007D1E76">
      <w:pPr>
        <w:spacing w:after="0" w:line="240" w:lineRule="auto"/>
        <w:jc w:val="both"/>
        <w:rPr>
          <w:rFonts w:cs="Calibri"/>
        </w:rPr>
      </w:pPr>
      <w:r w:rsidRPr="001750BF">
        <w:rPr>
          <w:rFonts w:cs="Calibri"/>
        </w:rPr>
        <w:t>Ejercicio fiscal 201</w:t>
      </w:r>
      <w:r w:rsidR="0054691C">
        <w:rPr>
          <w:rFonts w:cs="Calibri"/>
        </w:rPr>
        <w:t xml:space="preserve">7 (periodo enero a </w:t>
      </w:r>
      <w:r w:rsidR="000D31FA">
        <w:rPr>
          <w:rFonts w:cs="Calibri"/>
        </w:rPr>
        <w:t>diciembre</w:t>
      </w:r>
      <w:r w:rsidRPr="001750BF">
        <w:rPr>
          <w:rFonts w:cs="Calibri"/>
        </w:rPr>
        <w:t xml:space="preserve"> del 201</w:t>
      </w:r>
      <w:r w:rsidR="0054691C">
        <w:rPr>
          <w:rFonts w:cs="Calibri"/>
        </w:rPr>
        <w:t>7</w:t>
      </w:r>
      <w:r w:rsidRPr="001750BF">
        <w:rPr>
          <w:rFonts w:cs="Calibri"/>
        </w:rPr>
        <w:t xml:space="preserve">)  </w:t>
      </w:r>
    </w:p>
    <w:p w:rsidR="001750BF" w:rsidRDefault="001750BF" w:rsidP="007D1E76">
      <w:pPr>
        <w:spacing w:after="0" w:line="240" w:lineRule="auto"/>
        <w:jc w:val="both"/>
        <w:rPr>
          <w:rFonts w:cs="Calibri"/>
        </w:rPr>
      </w:pPr>
    </w:p>
    <w:p w:rsidR="001750BF" w:rsidRPr="00E74967" w:rsidRDefault="001750B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rsidR="007D1E76" w:rsidRPr="00E74967" w:rsidRDefault="001750BF" w:rsidP="007D1E76">
      <w:pPr>
        <w:spacing w:after="0" w:line="240" w:lineRule="auto"/>
        <w:jc w:val="both"/>
        <w:rPr>
          <w:rFonts w:cs="Calibri"/>
        </w:rPr>
      </w:pPr>
      <w:r w:rsidRPr="001750BF">
        <w:rPr>
          <w:rFonts w:cs="Calibri"/>
        </w:rPr>
        <w:t xml:space="preserve">Persona Moral con Fines no Lucrativos </w:t>
      </w: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7D1E76" w:rsidRPr="00E74967" w:rsidRDefault="001750BF" w:rsidP="007D1E76">
      <w:pPr>
        <w:spacing w:after="0" w:line="240" w:lineRule="auto"/>
        <w:jc w:val="both"/>
        <w:rPr>
          <w:rFonts w:cs="Calibri"/>
        </w:rPr>
      </w:pPr>
      <w:r w:rsidRPr="001750BF">
        <w:rPr>
          <w:rFonts w:cs="Calibri"/>
        </w:rPr>
        <w:t>Retenciones de Sueldos y Salarios, Retenciones del 10 % sobre Honorarios, Retenciones del 1% de Impuesto Cedular, INFONAVIT, IMSS, Retiro Y Cesantía, 10% Arrendamiento Y 2% sobre nómina.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1750BF" w:rsidP="007D1E76">
      <w:pPr>
        <w:spacing w:after="0" w:line="240" w:lineRule="auto"/>
        <w:ind w:firstLine="708"/>
        <w:jc w:val="both"/>
        <w:rPr>
          <w:rFonts w:cs="Calibri"/>
        </w:rPr>
      </w:pPr>
      <w:r>
        <w:rPr>
          <w:rFonts w:cs="Calibri"/>
          <w:noProof/>
          <w:lang w:eastAsia="es-MX"/>
        </w:rPr>
        <w:drawing>
          <wp:inline distT="0" distB="0" distL="0" distR="0" wp14:anchorId="57569E55" wp14:editId="31050C3B">
            <wp:extent cx="6151880" cy="272724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880" cy="2727245"/>
                    </a:xfrm>
                    <a:prstGeom prst="rect">
                      <a:avLst/>
                    </a:prstGeom>
                    <a:noFill/>
                  </pic:spPr>
                </pic:pic>
              </a:graphicData>
            </a:graphic>
          </wp:inline>
        </w:drawing>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1750BF" w:rsidP="007D1E76">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0D31FA">
        <w:rPr>
          <w:rFonts w:cs="Calibri"/>
          <w:b/>
        </w:rPr>
        <w:t>5. Bases de Preparació</w:t>
      </w:r>
      <w:r w:rsidR="00E00323" w:rsidRPr="000D31FA">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1750BF" w:rsidRPr="001750BF" w:rsidRDefault="001750BF" w:rsidP="001750BF">
      <w:pPr>
        <w:spacing w:after="0" w:line="240" w:lineRule="auto"/>
        <w:jc w:val="both"/>
        <w:rPr>
          <w:rFonts w:cs="Calibri"/>
        </w:rPr>
      </w:pPr>
      <w:r w:rsidRPr="001750BF">
        <w:rPr>
          <w:rFonts w:cs="Calibri"/>
        </w:rPr>
        <w:t>Si se ha observado la normatividad emitida por el CONAC y las disposiciones legales aplicables.</w:t>
      </w:r>
    </w:p>
    <w:p w:rsidR="001750BF" w:rsidRPr="001750BF" w:rsidRDefault="001750BF" w:rsidP="001750BF">
      <w:pPr>
        <w:spacing w:after="0" w:line="240" w:lineRule="auto"/>
        <w:jc w:val="both"/>
        <w:rPr>
          <w:rFonts w:cs="Calibri"/>
        </w:rPr>
      </w:pPr>
      <w:r w:rsidRPr="001750BF">
        <w:rPr>
          <w:rFonts w:cs="Calibri"/>
        </w:rPr>
        <w:t xml:space="preserve">Se ha observado la normatividad emitida por la CONAC y la Ley General de Contabilidad Gubernamental (LGCG) para la emisión de la Información Financiera, actualmente nos encontramos en la implantación de la misma. </w:t>
      </w:r>
    </w:p>
    <w:p w:rsidR="001750BF" w:rsidRPr="001750BF" w:rsidRDefault="001750BF" w:rsidP="001750BF">
      <w:pPr>
        <w:spacing w:after="0" w:line="240" w:lineRule="auto"/>
        <w:jc w:val="both"/>
        <w:rPr>
          <w:rFonts w:cs="Calibri"/>
        </w:rPr>
      </w:pPr>
      <w:r w:rsidRPr="001750BF">
        <w:rPr>
          <w:rFonts w:cs="Calibri"/>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750BF" w:rsidRPr="001750BF" w:rsidRDefault="001750BF" w:rsidP="001750BF">
      <w:pPr>
        <w:spacing w:after="0" w:line="240" w:lineRule="auto"/>
        <w:jc w:val="both"/>
        <w:rPr>
          <w:rFonts w:cs="Calibri"/>
        </w:rPr>
      </w:pPr>
      <w:r w:rsidRPr="001750BF">
        <w:rPr>
          <w:rFonts w:cs="Calibri"/>
        </w:rPr>
        <w:t>c) Postulados básicos.</w:t>
      </w:r>
    </w:p>
    <w:p w:rsidR="001750BF" w:rsidRPr="001750BF" w:rsidRDefault="001750BF" w:rsidP="001750BF">
      <w:pPr>
        <w:spacing w:after="0" w:line="240" w:lineRule="auto"/>
        <w:jc w:val="both"/>
        <w:rPr>
          <w:rFonts w:cs="Calibri"/>
        </w:rPr>
      </w:pPr>
      <w:r w:rsidRPr="001750BF">
        <w:rPr>
          <w:rFonts w:cs="Calibri"/>
        </w:rPr>
        <w:t>Se tiene un avance del 90% en los lineamientos de la contabilidad gubernamental.</w:t>
      </w:r>
    </w:p>
    <w:p w:rsidR="001750BF" w:rsidRPr="001750BF" w:rsidRDefault="001750BF" w:rsidP="001750BF">
      <w:pPr>
        <w:spacing w:after="0" w:line="240" w:lineRule="auto"/>
        <w:jc w:val="both"/>
        <w:rPr>
          <w:rFonts w:cs="Calibri"/>
        </w:rPr>
      </w:pPr>
      <w:r w:rsidRPr="001750BF">
        <w:rPr>
          <w:rFonts w:cs="Calibri"/>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750BF" w:rsidRPr="001750BF" w:rsidRDefault="001750BF" w:rsidP="001750BF">
      <w:pPr>
        <w:spacing w:after="0" w:line="240" w:lineRule="auto"/>
        <w:jc w:val="both"/>
        <w:rPr>
          <w:rFonts w:cs="Calibri"/>
        </w:rPr>
      </w:pPr>
      <w:r w:rsidRPr="001750BF">
        <w:rPr>
          <w:rFonts w:cs="Calibri"/>
        </w:rPr>
        <w:t xml:space="preserve">Se tiene un avance del 80% en los lineamientos de la contabilidad gubernamental </w:t>
      </w:r>
    </w:p>
    <w:p w:rsidR="001750BF" w:rsidRPr="001750BF" w:rsidRDefault="001750BF" w:rsidP="001750BF">
      <w:pPr>
        <w:spacing w:after="0" w:line="240" w:lineRule="auto"/>
        <w:jc w:val="both"/>
        <w:rPr>
          <w:rFonts w:cs="Calibri"/>
        </w:rPr>
      </w:pPr>
      <w:r w:rsidRPr="001750BF">
        <w:rPr>
          <w:rFonts w:cs="Calibri"/>
        </w:rPr>
        <w:t>e) Para las entidades que por primera vez estén implementando la base devengado de acuerdo a la Ley de Contabilidad, deberán:</w:t>
      </w:r>
    </w:p>
    <w:p w:rsidR="001750BF" w:rsidRPr="001750BF" w:rsidRDefault="001750BF" w:rsidP="001750BF">
      <w:pPr>
        <w:spacing w:after="0" w:line="240" w:lineRule="auto"/>
        <w:jc w:val="both"/>
        <w:rPr>
          <w:rFonts w:cs="Calibri"/>
        </w:rPr>
      </w:pPr>
      <w:r w:rsidRPr="001750BF">
        <w:rPr>
          <w:rFonts w:cs="Calibri"/>
        </w:rPr>
        <w:t>Se tiene un avance del 90% en los lineamientos de la contabilidad gubernamental</w:t>
      </w:r>
    </w:p>
    <w:p w:rsidR="001750BF" w:rsidRPr="001750BF" w:rsidRDefault="001750BF" w:rsidP="001750BF">
      <w:pPr>
        <w:spacing w:after="0" w:line="240" w:lineRule="auto"/>
        <w:jc w:val="both"/>
        <w:rPr>
          <w:rFonts w:cs="Calibri"/>
        </w:rPr>
      </w:pPr>
      <w:r w:rsidRPr="001750BF">
        <w:rPr>
          <w:rFonts w:cs="Calibri"/>
        </w:rPr>
        <w:t>*Revelar las nuevas políticas de reconocimiento:</w:t>
      </w:r>
    </w:p>
    <w:p w:rsidR="001750BF" w:rsidRPr="001750BF" w:rsidRDefault="001750BF" w:rsidP="001750BF">
      <w:pPr>
        <w:spacing w:after="0" w:line="240" w:lineRule="auto"/>
        <w:jc w:val="both"/>
        <w:rPr>
          <w:rFonts w:cs="Calibri"/>
        </w:rPr>
      </w:pPr>
      <w:r w:rsidRPr="001750BF">
        <w:rPr>
          <w:rFonts w:cs="Calibri"/>
        </w:rPr>
        <w:lastRenderedPageBreak/>
        <w:t xml:space="preserve">Se tiene un avance del 90% en los lineamientos de la contabilidad gubernamental </w:t>
      </w:r>
    </w:p>
    <w:p w:rsidR="001750BF" w:rsidRPr="001750BF" w:rsidRDefault="001750BF" w:rsidP="001750BF">
      <w:pPr>
        <w:spacing w:after="0" w:line="240" w:lineRule="auto"/>
        <w:jc w:val="both"/>
        <w:rPr>
          <w:rFonts w:cs="Calibri"/>
        </w:rPr>
      </w:pPr>
      <w:r w:rsidRPr="001750BF">
        <w:rPr>
          <w:rFonts w:cs="Calibri"/>
        </w:rPr>
        <w:t>*Plan de implementación:</w:t>
      </w:r>
    </w:p>
    <w:p w:rsidR="001750BF" w:rsidRPr="001750BF" w:rsidRDefault="001750BF" w:rsidP="001750BF">
      <w:pPr>
        <w:spacing w:after="0" w:line="240" w:lineRule="auto"/>
        <w:jc w:val="both"/>
        <w:rPr>
          <w:rFonts w:cs="Calibri"/>
        </w:rPr>
      </w:pPr>
      <w:r w:rsidRPr="001750BF">
        <w:rPr>
          <w:rFonts w:cs="Calibri"/>
        </w:rPr>
        <w:t xml:space="preserve"> Se tiene un avance del 90% en los lineamientos de la contabilidad gubernamental </w:t>
      </w:r>
    </w:p>
    <w:p w:rsidR="001750BF" w:rsidRPr="001750BF" w:rsidRDefault="001750BF" w:rsidP="001750BF">
      <w:pPr>
        <w:spacing w:after="0" w:line="240" w:lineRule="auto"/>
        <w:jc w:val="both"/>
        <w:rPr>
          <w:rFonts w:cs="Calibri"/>
        </w:rPr>
      </w:pPr>
      <w:r w:rsidRPr="001750BF">
        <w:rPr>
          <w:rFonts w:cs="Calibri"/>
        </w:rPr>
        <w:t>*Revelar los cambios en las políticas, la clasificación y medición de las mismas, así como su impacto en la información financiera:</w:t>
      </w:r>
    </w:p>
    <w:p w:rsidR="007D1E76" w:rsidRPr="00E74967" w:rsidRDefault="001750BF" w:rsidP="001750BF">
      <w:pPr>
        <w:spacing w:after="0" w:line="240" w:lineRule="auto"/>
        <w:jc w:val="both"/>
        <w:rPr>
          <w:rFonts w:cs="Calibri"/>
        </w:rPr>
      </w:pPr>
      <w:r w:rsidRPr="001750BF">
        <w:rPr>
          <w:rFonts w:cs="Calibri"/>
        </w:rP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2016, del sistema para el Desarrollo Integral de la Familia en el Municipio de León Guanajuato</w:t>
      </w:r>
    </w:p>
    <w:p w:rsidR="007D1E76" w:rsidRPr="00E74967"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b/>
        </w:rPr>
      </w:pPr>
      <w:r w:rsidRPr="000D31FA">
        <w:rPr>
          <w:rFonts w:cs="Calibri"/>
          <w:b/>
        </w:rPr>
        <w:t>6. Políticas de</w:t>
      </w:r>
      <w:r w:rsidR="00E00323" w:rsidRPr="000D31FA">
        <w:rPr>
          <w:rFonts w:cs="Calibri"/>
          <w:b/>
        </w:rPr>
        <w:t xml:space="preserve"> Contabilidad Significativas:</w:t>
      </w:r>
    </w:p>
    <w:p w:rsidR="007D1E76" w:rsidRPr="000D31FA"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rPr>
      </w:pPr>
      <w:r w:rsidRPr="000D31FA">
        <w:rPr>
          <w:rFonts w:cs="Calibri"/>
        </w:rPr>
        <w:t>Se informará sobre:</w:t>
      </w:r>
    </w:p>
    <w:p w:rsidR="001750BF" w:rsidRPr="001750BF" w:rsidRDefault="001750BF" w:rsidP="001750BF">
      <w:pPr>
        <w:spacing w:after="0" w:line="240" w:lineRule="auto"/>
        <w:jc w:val="both"/>
        <w:rPr>
          <w:rFonts w:cs="Calibri"/>
        </w:rPr>
      </w:pPr>
      <w:r w:rsidRPr="000D31FA">
        <w:rPr>
          <w:rFonts w:cs="Calibri"/>
        </w:rPr>
        <w:t>a) Actualización: se informará del método utilizado para la actualización del valor de los activos, pasivos y Hacienda Pública/Patrimonio y las razones de dicha elección. Así como informar de la desconexión o reconexión inflacionaria:</w:t>
      </w:r>
    </w:p>
    <w:p w:rsidR="001750BF" w:rsidRPr="001750BF" w:rsidRDefault="001750BF" w:rsidP="001750BF">
      <w:pPr>
        <w:spacing w:after="0" w:line="240" w:lineRule="auto"/>
        <w:jc w:val="both"/>
        <w:rPr>
          <w:rFonts w:cs="Calibri"/>
        </w:rPr>
      </w:pPr>
      <w:r w:rsidRPr="001750BF">
        <w:rPr>
          <w:rFonts w:cs="Calibri"/>
        </w:rPr>
        <w:t xml:space="preserve">Está pendiente </w:t>
      </w:r>
    </w:p>
    <w:p w:rsidR="001750BF" w:rsidRPr="001750BF" w:rsidRDefault="001750BF" w:rsidP="001750BF">
      <w:pPr>
        <w:spacing w:after="0" w:line="240" w:lineRule="auto"/>
        <w:jc w:val="both"/>
        <w:rPr>
          <w:rFonts w:cs="Calibri"/>
        </w:rPr>
      </w:pPr>
      <w:r w:rsidRPr="001750BF">
        <w:rPr>
          <w:rFonts w:cs="Calibri"/>
        </w:rPr>
        <w:t>b) Informar sobre la realización de operaciones en el extranjero y de sus efectos en la información financiera gubernamental:</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c) Método de valuación de la inversión en acciones de Compañías subsidiarias no consolidadas y asociadas: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d) Sistema y método de valuación de inventarios y costo de lo vendido: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e) Beneficios a empleados: revelar el cálculo de la reserva actuarial, valor presente de los ingresos esperados comparado con el valor presente de la estimación de gastos tanto de los beneficiarios actuales como futuros: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f) Provisiones: objetivo de su creación, monto y plazo: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g) Reservas: objetivo de su creación, monto y plazo: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h) Cambios en políticas contables y corrección de errores junto con la revelación de los efectos que se tendrá en la información financiera del ente público, ya sea retrospectivos o prospectivos:</w:t>
      </w:r>
    </w:p>
    <w:p w:rsidR="001750BF" w:rsidRPr="001750BF" w:rsidRDefault="001750BF" w:rsidP="001750BF">
      <w:pPr>
        <w:spacing w:after="0" w:line="240" w:lineRule="auto"/>
        <w:jc w:val="both"/>
        <w:rPr>
          <w:rFonts w:cs="Calibri"/>
        </w:rPr>
      </w:pPr>
      <w:r w:rsidRPr="001750BF">
        <w:rPr>
          <w:rFonts w:cs="Calibri"/>
        </w:rPr>
        <w:t>A partir del ejercicio presupuestal 2015, la reserva de aguinaldo</w:t>
      </w:r>
    </w:p>
    <w:p w:rsidR="001750BF" w:rsidRPr="001750BF" w:rsidRDefault="001750BF" w:rsidP="001750BF">
      <w:pPr>
        <w:spacing w:after="0" w:line="240" w:lineRule="auto"/>
        <w:jc w:val="both"/>
        <w:rPr>
          <w:rFonts w:cs="Calibri"/>
        </w:rPr>
      </w:pPr>
      <w:r w:rsidRPr="001750BF">
        <w:rPr>
          <w:rFonts w:cs="Calibri"/>
        </w:rPr>
        <w:t>i) Reclasificaciones: Se deben revelar todos aquellos movimientos entre cuentas por efectos de cambios en los tipos de operaciones:</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j) Depuración y cancelación de saldos:</w:t>
      </w:r>
    </w:p>
    <w:p w:rsidR="007D1E76" w:rsidRPr="00E74967" w:rsidRDefault="001750BF" w:rsidP="001750BF">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1750BF" w:rsidRPr="001750BF" w:rsidRDefault="001750BF" w:rsidP="001750BF">
      <w:pPr>
        <w:spacing w:after="0" w:line="240" w:lineRule="auto"/>
        <w:jc w:val="both"/>
        <w:rPr>
          <w:rFonts w:cs="Calibri"/>
        </w:rPr>
      </w:pPr>
      <w:r w:rsidRPr="001750BF">
        <w:rPr>
          <w:rFonts w:cs="Calibri"/>
        </w:rPr>
        <w:t>a) Activos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p>
    <w:p w:rsidR="001750BF" w:rsidRPr="001750BF" w:rsidRDefault="001750BF" w:rsidP="001750BF">
      <w:pPr>
        <w:spacing w:after="0" w:line="240" w:lineRule="auto"/>
        <w:jc w:val="both"/>
        <w:rPr>
          <w:rFonts w:cs="Calibri"/>
        </w:rPr>
      </w:pPr>
      <w:r w:rsidRPr="001750BF">
        <w:rPr>
          <w:rFonts w:cs="Calibri"/>
        </w:rPr>
        <w:t>b) Pasivos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c) Posición en moneda extranjera:</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d) Tipo de cambio:</w:t>
      </w:r>
    </w:p>
    <w:p w:rsidR="001750BF" w:rsidRPr="001750BF" w:rsidRDefault="001750BF" w:rsidP="001750BF">
      <w:pPr>
        <w:spacing w:after="0" w:line="240" w:lineRule="auto"/>
        <w:jc w:val="both"/>
        <w:rPr>
          <w:rFonts w:cs="Calibri"/>
        </w:rPr>
      </w:pPr>
      <w:r w:rsidRPr="001750BF">
        <w:rPr>
          <w:rFonts w:cs="Calibri"/>
        </w:rPr>
        <w:t>N/A</w:t>
      </w:r>
    </w:p>
    <w:p w:rsidR="001750BF" w:rsidRPr="001750BF" w:rsidRDefault="001750BF" w:rsidP="001750BF">
      <w:pPr>
        <w:spacing w:after="0" w:line="240" w:lineRule="auto"/>
        <w:jc w:val="both"/>
        <w:rPr>
          <w:rFonts w:cs="Calibri"/>
        </w:rPr>
      </w:pPr>
      <w:r w:rsidRPr="001750BF">
        <w:rPr>
          <w:rFonts w:cs="Calibri"/>
        </w:rPr>
        <w:t>e) Equivalente en moneda nacional:</w:t>
      </w:r>
    </w:p>
    <w:p w:rsidR="001750BF" w:rsidRPr="001750BF" w:rsidRDefault="001750BF" w:rsidP="001750BF">
      <w:pPr>
        <w:spacing w:after="0" w:line="240" w:lineRule="auto"/>
        <w:jc w:val="both"/>
        <w:rPr>
          <w:rFonts w:cs="Calibri"/>
        </w:rPr>
      </w:pPr>
      <w:r w:rsidRPr="001750BF">
        <w:rPr>
          <w:rFonts w:cs="Calibri"/>
        </w:rPr>
        <w:t>N/A</w:t>
      </w:r>
    </w:p>
    <w:p w:rsidR="007D1E76" w:rsidRPr="00E74967"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b/>
        </w:rPr>
      </w:pPr>
      <w:r w:rsidRPr="000D31FA">
        <w:rPr>
          <w:rFonts w:cs="Calibri"/>
          <w:b/>
        </w:rPr>
        <w:t xml:space="preserve">8. </w:t>
      </w:r>
      <w:r w:rsidR="00E00323" w:rsidRPr="000D31FA">
        <w:rPr>
          <w:rFonts w:cs="Calibri"/>
          <w:b/>
        </w:rPr>
        <w:t>Reporte Analítico del Activo:</w:t>
      </w:r>
    </w:p>
    <w:p w:rsidR="007D1E76" w:rsidRPr="000D31FA" w:rsidRDefault="007D1E76" w:rsidP="007D1E76">
      <w:pPr>
        <w:spacing w:after="0" w:line="240" w:lineRule="auto"/>
        <w:jc w:val="both"/>
        <w:rPr>
          <w:rFonts w:cs="Calibri"/>
        </w:rPr>
      </w:pPr>
    </w:p>
    <w:p w:rsidR="007D1E76" w:rsidRPr="000D31FA" w:rsidRDefault="007D1E76" w:rsidP="007D1E76">
      <w:pPr>
        <w:spacing w:after="0" w:line="240" w:lineRule="auto"/>
        <w:jc w:val="both"/>
        <w:rPr>
          <w:rFonts w:cs="Calibri"/>
        </w:rPr>
      </w:pPr>
      <w:r w:rsidRPr="000D31FA">
        <w:rPr>
          <w:rFonts w:cs="Calibri"/>
        </w:rPr>
        <w:t>Debe mostrar la siguien</w:t>
      </w:r>
      <w:r w:rsidR="00E00323" w:rsidRPr="000D31FA">
        <w:rPr>
          <w:rFonts w:cs="Calibri"/>
        </w:rPr>
        <w:t>te información:</w:t>
      </w:r>
    </w:p>
    <w:p w:rsidR="001750BF" w:rsidRPr="000D31FA" w:rsidRDefault="001750BF" w:rsidP="001750BF">
      <w:pPr>
        <w:spacing w:after="0" w:line="240" w:lineRule="auto"/>
        <w:jc w:val="both"/>
        <w:rPr>
          <w:rFonts w:cs="Calibri"/>
        </w:rPr>
      </w:pPr>
      <w:r w:rsidRPr="000D31FA">
        <w:rPr>
          <w:rFonts w:cs="Calibri"/>
        </w:rPr>
        <w:t>Debe mostrar la siguiente información:</w:t>
      </w:r>
    </w:p>
    <w:p w:rsidR="001750BF" w:rsidRPr="000D31FA" w:rsidRDefault="001750BF" w:rsidP="001750BF">
      <w:pPr>
        <w:spacing w:after="0" w:line="240" w:lineRule="auto"/>
        <w:jc w:val="both"/>
        <w:rPr>
          <w:rFonts w:cs="Calibri"/>
        </w:rPr>
      </w:pPr>
    </w:p>
    <w:p w:rsidR="001750BF" w:rsidRDefault="001750BF" w:rsidP="001750BF">
      <w:pPr>
        <w:spacing w:after="0" w:line="240" w:lineRule="auto"/>
        <w:jc w:val="both"/>
        <w:rPr>
          <w:rFonts w:cs="Calibri"/>
        </w:rPr>
      </w:pPr>
      <w:r w:rsidRPr="000D31FA">
        <w:rPr>
          <w:rFonts w:cs="Calibri"/>
        </w:rPr>
        <w:t>a)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280A70" w:rsidRPr="00280A70" w:rsidTr="00280A70">
        <w:trPr>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rsidR="00280A70" w:rsidRPr="00280A70" w:rsidRDefault="00280A70" w:rsidP="00280A70">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rsidR="00280A70" w:rsidRPr="00280A70" w:rsidRDefault="00280A70">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rsidR="00280A70" w:rsidRPr="00280A70" w:rsidRDefault="00280A70">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3.33%</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33.30%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20.00%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r w:rsidR="00280A70" w:rsidRPr="00280A70" w:rsidTr="00280A70">
        <w:trPr>
          <w:gridAfter w:val="1"/>
          <w:wAfter w:w="193" w:type="dxa"/>
          <w:trHeight w:val="225"/>
        </w:trPr>
        <w:tc>
          <w:tcPr>
            <w:tcW w:w="2128" w:type="dxa"/>
            <w:shd w:val="clear" w:color="auto" w:fill="auto"/>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rsidR="00280A70" w:rsidRPr="00280A70" w:rsidRDefault="00280A70" w:rsidP="00280A70">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rsidR="00280A70" w:rsidRDefault="00280A70">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rsidR="00280A70" w:rsidRDefault="00280A70">
            <w:pPr>
              <w:jc w:val="right"/>
              <w:rPr>
                <w:rFonts w:ascii="Arial" w:hAnsi="Arial" w:cs="Arial"/>
                <w:color w:val="000000"/>
                <w:sz w:val="16"/>
                <w:szCs w:val="16"/>
              </w:rPr>
            </w:pPr>
            <w:r>
              <w:rPr>
                <w:rFonts w:ascii="Arial" w:hAnsi="Arial" w:cs="Arial"/>
                <w:color w:val="000000"/>
                <w:sz w:val="16"/>
                <w:szCs w:val="16"/>
              </w:rPr>
              <w:t>10.00%</w:t>
            </w:r>
          </w:p>
        </w:tc>
      </w:tr>
    </w:tbl>
    <w:p w:rsidR="00280A70" w:rsidRPr="000D31FA" w:rsidRDefault="00280A70" w:rsidP="001750BF">
      <w:pPr>
        <w:spacing w:after="0" w:line="240" w:lineRule="auto"/>
        <w:jc w:val="both"/>
        <w:rPr>
          <w:rFonts w:cs="Calibri"/>
        </w:rPr>
      </w:pPr>
    </w:p>
    <w:p w:rsidR="00280A70" w:rsidRDefault="00280A70"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lastRenderedPageBreak/>
        <w:t>b) Cambios en el porcentaje de depreciación o valor residual de los activos:</w:t>
      </w:r>
    </w:p>
    <w:p w:rsidR="001750BF" w:rsidRPr="000D31FA" w:rsidRDefault="001750BF" w:rsidP="001750BF">
      <w:pPr>
        <w:spacing w:after="0" w:line="240" w:lineRule="auto"/>
        <w:jc w:val="both"/>
        <w:rPr>
          <w:rFonts w:cs="Calibri"/>
        </w:rPr>
      </w:pPr>
      <w:r w:rsidRPr="000D31FA">
        <w:rPr>
          <w:rFonts w:cs="Calibri"/>
        </w:rPr>
        <w:t>En proceso de aplicar</w:t>
      </w:r>
    </w:p>
    <w:p w:rsidR="00280A70" w:rsidRDefault="00280A70"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c) Importe de los gastos capitalizados en el ejercicio, tanto financieros como de investigación y desarrollo:</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d) Riesgos por tipo de cambio o tipo de interés de las inversiones financieras:</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e) Valor activado en el ejercicio de los bienes construidos por la entidad:</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p>
    <w:p w:rsidR="001750BF" w:rsidRPr="000D31FA" w:rsidRDefault="001750BF" w:rsidP="001750BF">
      <w:pPr>
        <w:spacing w:after="0" w:line="240" w:lineRule="auto"/>
        <w:jc w:val="both"/>
        <w:rPr>
          <w:rFonts w:cs="Calibri"/>
        </w:rPr>
      </w:pPr>
      <w:r w:rsidRPr="000D31FA">
        <w:rPr>
          <w:rFonts w:cs="Calibri"/>
        </w:rPr>
        <w:t>f) Otras circunstancias de carácter significativo que afecten el activo, tales como bienes en garantía, señalados en embargos, litigios, títulos de inversiones entregados en garantías, baja significativa del valor de inversiones financieras, etc.:</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g) Desmantelamiento de Activos, procedimientos, implicaciones, efectos contables:</w:t>
      </w:r>
    </w:p>
    <w:p w:rsidR="001750BF" w:rsidRPr="000D31FA" w:rsidRDefault="001750BF" w:rsidP="001750BF">
      <w:pPr>
        <w:spacing w:after="0" w:line="240" w:lineRule="auto"/>
        <w:jc w:val="both"/>
        <w:rPr>
          <w:rFonts w:cs="Calibri"/>
        </w:rPr>
      </w:pPr>
      <w:r w:rsidRPr="000D31FA">
        <w:rPr>
          <w:rFonts w:cs="Calibri"/>
        </w:rPr>
        <w:t>N/A</w:t>
      </w:r>
    </w:p>
    <w:p w:rsidR="001750BF" w:rsidRPr="000D31FA" w:rsidRDefault="001750BF" w:rsidP="001750BF">
      <w:pPr>
        <w:spacing w:after="0" w:line="240" w:lineRule="auto"/>
        <w:jc w:val="both"/>
        <w:rPr>
          <w:rFonts w:cs="Calibri"/>
        </w:rPr>
      </w:pPr>
      <w:r w:rsidRPr="000D31FA">
        <w:rPr>
          <w:rFonts w:cs="Calibri"/>
        </w:rPr>
        <w:t>h) Administración de activos; planeación con el objetivo de que el ente los utilice de manera más efectiva:</w:t>
      </w:r>
    </w:p>
    <w:p w:rsidR="001750BF" w:rsidRDefault="001750BF" w:rsidP="001750BF">
      <w:pPr>
        <w:spacing w:after="0" w:line="240" w:lineRule="auto"/>
        <w:jc w:val="both"/>
        <w:rPr>
          <w:rFonts w:cs="Calibri"/>
        </w:rPr>
      </w:pPr>
      <w:r w:rsidRPr="000D31FA">
        <w:rPr>
          <w:rFonts w:cs="Calibri"/>
        </w:rPr>
        <w:t>N/A</w:t>
      </w:r>
    </w:p>
    <w:p w:rsidR="000714BA" w:rsidRDefault="000714BA" w:rsidP="001750BF">
      <w:pPr>
        <w:spacing w:after="0" w:line="240" w:lineRule="auto"/>
        <w:jc w:val="both"/>
        <w:rPr>
          <w:rFonts w:cs="Calibri"/>
        </w:rPr>
      </w:pPr>
    </w:p>
    <w:p w:rsidR="000714BA" w:rsidRPr="000D31FA" w:rsidRDefault="000714BA" w:rsidP="000714BA">
      <w:pPr>
        <w:spacing w:after="0" w:line="240" w:lineRule="auto"/>
        <w:jc w:val="both"/>
        <w:rPr>
          <w:rFonts w:cs="Calibri"/>
        </w:rPr>
      </w:pPr>
      <w:bookmarkStart w:id="0" w:name="_GoBack"/>
      <w:bookmarkEnd w:id="0"/>
      <w:r w:rsidRPr="000D31FA">
        <w:rPr>
          <w:rFonts w:cs="Calibri"/>
        </w:rPr>
        <w:t>Adicionalmente, se deben incluir las explicaciones de las principales variaciones en el activo, en cuadros comparativos como sigue:</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a) Inversiones en valores:</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b) Patrimonio de Organismos descentralizados de Control Presupuestario Indirecto:</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r w:rsidRPr="000D31FA">
        <w:rPr>
          <w:rFonts w:cs="Calibri"/>
        </w:rPr>
        <w:t>c) Inversiones en empresas de participación mayoritaria:</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p>
    <w:p w:rsidR="000714BA" w:rsidRPr="000D31FA" w:rsidRDefault="000714BA" w:rsidP="000714BA">
      <w:pPr>
        <w:spacing w:after="0" w:line="240" w:lineRule="auto"/>
        <w:jc w:val="both"/>
        <w:rPr>
          <w:rFonts w:cs="Calibri"/>
        </w:rPr>
      </w:pPr>
      <w:r w:rsidRPr="000D31FA">
        <w:rPr>
          <w:rFonts w:cs="Calibri"/>
        </w:rPr>
        <w:t>d) Inversiones en empresas de participación minoritaria:</w:t>
      </w:r>
    </w:p>
    <w:p w:rsidR="000714BA" w:rsidRPr="000D31FA" w:rsidRDefault="000714BA" w:rsidP="000714BA">
      <w:pPr>
        <w:spacing w:after="0" w:line="240" w:lineRule="auto"/>
        <w:jc w:val="both"/>
        <w:rPr>
          <w:rFonts w:cs="Calibri"/>
        </w:rPr>
      </w:pPr>
      <w:r w:rsidRPr="000D31FA">
        <w:rPr>
          <w:rFonts w:cs="Calibri"/>
        </w:rPr>
        <w:t>N/A</w:t>
      </w:r>
    </w:p>
    <w:p w:rsidR="000714BA" w:rsidRPr="000D31FA" w:rsidRDefault="000714BA" w:rsidP="000714BA">
      <w:pPr>
        <w:spacing w:after="0" w:line="240" w:lineRule="auto"/>
        <w:jc w:val="both"/>
        <w:rPr>
          <w:rFonts w:cs="Calibri"/>
        </w:rPr>
      </w:pPr>
      <w:r w:rsidRPr="000D31FA">
        <w:rPr>
          <w:rFonts w:cs="Calibri"/>
        </w:rPr>
        <w:t>e) Patrimonio de organismos descentralizados de control presupuestario directo, según corresponda:</w:t>
      </w:r>
    </w:p>
    <w:p w:rsidR="000714BA" w:rsidRPr="001750BF" w:rsidRDefault="000714BA" w:rsidP="000714BA">
      <w:pPr>
        <w:spacing w:after="0" w:line="240" w:lineRule="auto"/>
        <w:jc w:val="both"/>
        <w:rPr>
          <w:rFonts w:cs="Calibri"/>
        </w:rPr>
      </w:pPr>
      <w:r w:rsidRPr="000D31FA">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0714BA" w:rsidP="007D1E76">
      <w:pPr>
        <w:spacing w:after="0" w:line="240" w:lineRule="auto"/>
        <w:jc w:val="both"/>
        <w:rPr>
          <w:rFonts w:cs="Calibri"/>
        </w:rPr>
      </w:pPr>
      <w:r w:rsidRPr="000714BA">
        <w:rPr>
          <w:rFonts w:cs="Calibri"/>
        </w:rPr>
        <w:t>N/A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0714BA" w:rsidP="007D1E76">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a) Análisis del comportamiento de la recaudación correspondiente al ente público o cualquier tipo de ingreso, de forma separada los ingresos locales de los federales:</w:t>
      </w:r>
    </w:p>
    <w:p w:rsidR="000714BA" w:rsidRPr="000714BA" w:rsidRDefault="000714BA" w:rsidP="000714BA">
      <w:pPr>
        <w:spacing w:after="0" w:line="240" w:lineRule="auto"/>
        <w:jc w:val="both"/>
        <w:rPr>
          <w:rFonts w:cs="Calibri"/>
        </w:rPr>
      </w:pPr>
      <w:r w:rsidRPr="000714BA">
        <w:rPr>
          <w:rFonts w:cs="Calibri"/>
        </w:rPr>
        <w:t>Derechos</w:t>
      </w:r>
    </w:p>
    <w:p w:rsidR="000714BA" w:rsidRPr="000714BA" w:rsidRDefault="000714BA" w:rsidP="000714BA">
      <w:pPr>
        <w:spacing w:after="0" w:line="240" w:lineRule="auto"/>
        <w:jc w:val="both"/>
        <w:rPr>
          <w:rFonts w:cs="Calibri"/>
        </w:rPr>
      </w:pPr>
      <w:r w:rsidRPr="000714BA">
        <w:rPr>
          <w:rFonts w:cs="Calibri"/>
        </w:rPr>
        <w:lastRenderedPageBreak/>
        <w:t xml:space="preserve"> Productos de tipo corriente</w:t>
      </w:r>
    </w:p>
    <w:p w:rsidR="000714BA" w:rsidRPr="000714BA" w:rsidRDefault="000714BA" w:rsidP="000714BA">
      <w:pPr>
        <w:spacing w:after="0" w:line="240" w:lineRule="auto"/>
        <w:jc w:val="both"/>
        <w:rPr>
          <w:rFonts w:cs="Calibri"/>
        </w:rPr>
      </w:pPr>
      <w:r w:rsidRPr="000714BA">
        <w:rPr>
          <w:rFonts w:cs="Calibri"/>
        </w:rPr>
        <w:t>Aprovechamientos tipo corriente</w:t>
      </w:r>
    </w:p>
    <w:p w:rsidR="000714BA" w:rsidRPr="000714BA" w:rsidRDefault="000714BA" w:rsidP="000714BA">
      <w:pPr>
        <w:spacing w:after="0" w:line="240" w:lineRule="auto"/>
        <w:jc w:val="both"/>
        <w:rPr>
          <w:rFonts w:cs="Calibri"/>
        </w:rPr>
      </w:pPr>
      <w:r w:rsidRPr="000714BA">
        <w:rPr>
          <w:rFonts w:cs="Calibri"/>
        </w:rPr>
        <w:t xml:space="preserve"> Transferencias, asignaciones, subsidios</w:t>
      </w:r>
    </w:p>
    <w:p w:rsidR="000714BA" w:rsidRPr="000714BA" w:rsidRDefault="000714BA" w:rsidP="000714BA">
      <w:pPr>
        <w:spacing w:after="0" w:line="240" w:lineRule="auto"/>
        <w:jc w:val="both"/>
        <w:rPr>
          <w:rFonts w:cs="Calibri"/>
        </w:rPr>
      </w:pPr>
      <w:r w:rsidRPr="000714BA">
        <w:rPr>
          <w:rFonts w:cs="Calibri"/>
        </w:rPr>
        <w:t>Ingresos financieros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b) Proyección de la recaudación e ingresos en el mediano plazo:</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11. Información sobre la Deuda y el Reporte Analítico de la Deuda:</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a) Utilizar al menos los siguientes indicadores: deuda respecto al PIB y deuda respecto a la recaudación tomando, como mínimo, un período igual o menor a 5 años.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b) Información de manera agrupada por tipo de valor gubernamental o instrumento financiero en la que se consideren intereses, comisiones, tasa, perfil de vencimiento y otros gastos de la deuda.</w:t>
      </w:r>
    </w:p>
    <w:p w:rsidR="000714BA" w:rsidRPr="000714BA" w:rsidRDefault="000714BA" w:rsidP="000714BA">
      <w:pPr>
        <w:spacing w:after="0" w:line="240" w:lineRule="auto"/>
        <w:jc w:val="both"/>
        <w:rPr>
          <w:rFonts w:cs="Calibri"/>
        </w:rPr>
      </w:pPr>
      <w:r w:rsidRPr="000714BA">
        <w:rPr>
          <w:rFonts w:cs="Calibri"/>
        </w:rPr>
        <w:t>* Se anexara la información en las notas de desglose.</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12. Calificaciones otorgadas: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Informar, tanto del ente público como cualquier transacción realizada, que haya sido sujeta a una calificación crediticia:</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13. Proceso de Mejora:</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Se informará de:</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a) Principales Políticas de control interno:</w:t>
      </w:r>
    </w:p>
    <w:p w:rsidR="000714BA" w:rsidRPr="000714BA" w:rsidRDefault="000714BA" w:rsidP="000714BA">
      <w:pPr>
        <w:spacing w:after="0" w:line="240" w:lineRule="auto"/>
        <w:jc w:val="both"/>
        <w:rPr>
          <w:rFonts w:cs="Calibri"/>
        </w:rPr>
      </w:pPr>
      <w:r w:rsidRPr="000714BA">
        <w:rPr>
          <w:rFonts w:cs="Calibri"/>
        </w:rPr>
        <w:t>En Proceso de un avance 80%</w:t>
      </w:r>
    </w:p>
    <w:p w:rsidR="000714BA" w:rsidRPr="000714BA" w:rsidRDefault="000714BA" w:rsidP="000714BA">
      <w:pPr>
        <w:spacing w:after="0" w:line="240" w:lineRule="auto"/>
        <w:jc w:val="both"/>
        <w:rPr>
          <w:rFonts w:cs="Calibri"/>
        </w:rPr>
      </w:pPr>
      <w:r w:rsidRPr="000714BA">
        <w:rPr>
          <w:rFonts w:cs="Calibri"/>
        </w:rPr>
        <w:t>b) Medidas de desempeño financiero, metas y alcance:</w:t>
      </w:r>
    </w:p>
    <w:p w:rsidR="000714BA" w:rsidRPr="000714BA" w:rsidRDefault="000714BA" w:rsidP="000714BA">
      <w:pPr>
        <w:spacing w:after="0" w:line="240" w:lineRule="auto"/>
        <w:jc w:val="both"/>
        <w:rPr>
          <w:rFonts w:cs="Calibri"/>
        </w:rPr>
      </w:pPr>
      <w:r w:rsidRPr="000714BA">
        <w:rPr>
          <w:rFonts w:cs="Calibri"/>
        </w:rPr>
        <w:t>Son los que se informa en el POA del ejercicio 2016</w:t>
      </w:r>
    </w:p>
    <w:p w:rsidR="000714BA" w:rsidRPr="000714BA" w:rsidRDefault="000714BA" w:rsidP="000714BA">
      <w:pPr>
        <w:spacing w:after="0" w:line="240" w:lineRule="auto"/>
        <w:jc w:val="both"/>
        <w:rPr>
          <w:rFonts w:cs="Calibri"/>
        </w:rPr>
      </w:pPr>
      <w:r w:rsidRPr="000714BA">
        <w:rPr>
          <w:rFonts w:cs="Calibri"/>
        </w:rPr>
        <w:t>14. Información por Segmentos: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Consecuentemente, esta información contribuye al análisis más preciso de la situación financiera, grados y fuentes de riesgo y crecimiento potencial de negocio.</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15. Eventos Posteriores al Cierre:</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 xml:space="preserve">El ente público informará el efecto en sus estados financieros de aquellos hechos ocurridos en el período posterior al que informa, que proporcionan mayor evidencia sobre eventos que le afectan  económicamente y que no se conocían a la fecha de cierre. </w:t>
      </w:r>
      <w:proofErr w:type="gramStart"/>
      <w:r w:rsidRPr="000714BA">
        <w:rPr>
          <w:rFonts w:cs="Calibri"/>
        </w:rPr>
        <w:t>nada</w:t>
      </w:r>
      <w:proofErr w:type="gramEnd"/>
      <w:r w:rsidRPr="000714BA">
        <w:rPr>
          <w:rFonts w:cs="Calibri"/>
        </w:rPr>
        <w:t xml:space="preserve"> que manifestar</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16. Partes Relacionadas:</w:t>
      </w:r>
    </w:p>
    <w:p w:rsidR="000714BA" w:rsidRPr="000714BA" w:rsidRDefault="000714BA" w:rsidP="000714BA">
      <w:pPr>
        <w:spacing w:after="0" w:line="240" w:lineRule="auto"/>
        <w:jc w:val="both"/>
        <w:rPr>
          <w:rFonts w:cs="Calibri"/>
        </w:rPr>
      </w:pPr>
    </w:p>
    <w:p w:rsidR="000714BA" w:rsidRPr="000714BA" w:rsidRDefault="000714BA" w:rsidP="000714BA">
      <w:pPr>
        <w:spacing w:after="0" w:line="240" w:lineRule="auto"/>
        <w:jc w:val="both"/>
        <w:rPr>
          <w:rFonts w:cs="Calibri"/>
        </w:rPr>
      </w:pPr>
      <w:r w:rsidRPr="000714BA">
        <w:rPr>
          <w:rFonts w:cs="Calibri"/>
        </w:rPr>
        <w:t>Se debe establecer por escrito que no existen partes relacionadas que pudieran ejercer influencia significativa sobre la toma de decisiones financieras y operativas:</w:t>
      </w:r>
    </w:p>
    <w:p w:rsidR="000714BA" w:rsidRPr="000714BA" w:rsidRDefault="000714BA" w:rsidP="000714BA">
      <w:pPr>
        <w:spacing w:after="0" w:line="240" w:lineRule="auto"/>
        <w:jc w:val="both"/>
        <w:rPr>
          <w:rFonts w:cs="Calibri"/>
        </w:rPr>
      </w:pPr>
      <w:r w:rsidRPr="000714BA">
        <w:rPr>
          <w:rFonts w:cs="Calibri"/>
        </w:rPr>
        <w:t>N/A</w:t>
      </w:r>
    </w:p>
    <w:p w:rsidR="000714BA" w:rsidRPr="000714BA" w:rsidRDefault="000714BA" w:rsidP="000714BA">
      <w:pPr>
        <w:spacing w:after="0" w:line="240" w:lineRule="auto"/>
        <w:jc w:val="both"/>
        <w:rPr>
          <w:rFonts w:cs="Calibri"/>
        </w:rPr>
      </w:pPr>
      <w:r w:rsidRPr="000714BA">
        <w:rPr>
          <w:rFonts w:cs="Calibri"/>
        </w:rPr>
        <w:t>17. Responsabilidad Sobre la Presentación Razonable de la Información Contable:</w:t>
      </w:r>
    </w:p>
    <w:p w:rsidR="000714BA" w:rsidRPr="000714BA" w:rsidRDefault="000714BA" w:rsidP="000714BA">
      <w:pPr>
        <w:spacing w:after="0" w:line="240" w:lineRule="auto"/>
        <w:jc w:val="both"/>
        <w:rPr>
          <w:rFonts w:cs="Calibri"/>
        </w:rPr>
      </w:pPr>
    </w:p>
    <w:p w:rsidR="000714BA" w:rsidRDefault="000714BA" w:rsidP="007D1E76">
      <w:pPr>
        <w:spacing w:after="0" w:line="240" w:lineRule="auto"/>
        <w:jc w:val="both"/>
        <w:rPr>
          <w:rFonts w:cs="Calibri"/>
        </w:rPr>
      </w:pPr>
      <w:r w:rsidRPr="000714BA">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0714BA" w:rsidRPr="00E74967" w:rsidRDefault="000714BA" w:rsidP="007D1E76">
      <w:pPr>
        <w:spacing w:after="0" w:line="240" w:lineRule="auto"/>
        <w:jc w:val="both"/>
        <w:rPr>
          <w:rFonts w:cs="Calibri"/>
        </w:rPr>
      </w:pPr>
    </w:p>
    <w:p w:rsidR="00C56CCB" w:rsidRDefault="00C56CCB" w:rsidP="00C56CCB">
      <w:pPr>
        <w:jc w:val="both"/>
        <w:rPr>
          <w:rFonts w:cs="Calibri"/>
        </w:rPr>
      </w:pPr>
    </w:p>
    <w:p w:rsidR="00C56CCB" w:rsidRPr="00E74967" w:rsidRDefault="00C56CCB" w:rsidP="00C56CCB">
      <w:pPr>
        <w:jc w:val="both"/>
        <w:rPr>
          <w:rFonts w:cs="Calibri"/>
        </w:rPr>
      </w:pPr>
    </w:p>
    <w:p w:rsidR="00C56CCB" w:rsidRPr="00E74967" w:rsidRDefault="00C56CCB" w:rsidP="007D1E76">
      <w:pPr>
        <w:jc w:val="both"/>
        <w:rPr>
          <w:rFonts w:cs="Calibri"/>
        </w:rPr>
      </w:pPr>
    </w:p>
    <w:sectPr w:rsidR="00C56CCB" w:rsidRPr="00E74967"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B9" w:rsidRDefault="003E30B9" w:rsidP="00E00323">
      <w:pPr>
        <w:spacing w:after="0" w:line="240" w:lineRule="auto"/>
      </w:pPr>
      <w:r>
        <w:separator/>
      </w:r>
    </w:p>
  </w:endnote>
  <w:endnote w:type="continuationSeparator" w:id="0">
    <w:p w:rsidR="003E30B9" w:rsidRDefault="003E30B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B9" w:rsidRDefault="003E30B9" w:rsidP="00E00323">
      <w:pPr>
        <w:spacing w:after="0" w:line="240" w:lineRule="auto"/>
      </w:pPr>
      <w:r>
        <w:separator/>
      </w:r>
    </w:p>
  </w:footnote>
  <w:footnote w:type="continuationSeparator" w:id="0">
    <w:p w:rsidR="003E30B9" w:rsidRDefault="003E30B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B4192A" w:rsidP="00154BA3">
    <w:pPr>
      <w:pStyle w:val="Encabezado"/>
      <w:jc w:val="center"/>
    </w:pPr>
    <w:r>
      <w:t>SISTEMA PARA EL DESARROLLO INTEGRAL DE LA FAMILIA EN EL MUNICIPIO DE LEON GUANAJUATO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14"/>
    <w:rsid w:val="000608C0"/>
    <w:rsid w:val="000714BA"/>
    <w:rsid w:val="00087FE7"/>
    <w:rsid w:val="00091CE6"/>
    <w:rsid w:val="000B7810"/>
    <w:rsid w:val="000D31FA"/>
    <w:rsid w:val="00154BA3"/>
    <w:rsid w:val="001750BF"/>
    <w:rsid w:val="001973A2"/>
    <w:rsid w:val="001C75F2"/>
    <w:rsid w:val="001D2063"/>
    <w:rsid w:val="001F502C"/>
    <w:rsid w:val="002411F6"/>
    <w:rsid w:val="00280A70"/>
    <w:rsid w:val="00330FA1"/>
    <w:rsid w:val="003D7834"/>
    <w:rsid w:val="003E30B9"/>
    <w:rsid w:val="0053262C"/>
    <w:rsid w:val="0054691C"/>
    <w:rsid w:val="005C1682"/>
    <w:rsid w:val="005D3E43"/>
    <w:rsid w:val="005E231E"/>
    <w:rsid w:val="0060473B"/>
    <w:rsid w:val="00657009"/>
    <w:rsid w:val="00681C79"/>
    <w:rsid w:val="007714AB"/>
    <w:rsid w:val="007D1E76"/>
    <w:rsid w:val="0086459F"/>
    <w:rsid w:val="00864DB6"/>
    <w:rsid w:val="00883BDB"/>
    <w:rsid w:val="008C2D2B"/>
    <w:rsid w:val="008E076C"/>
    <w:rsid w:val="00A1690C"/>
    <w:rsid w:val="00A96997"/>
    <w:rsid w:val="00B4192A"/>
    <w:rsid w:val="00C56CCB"/>
    <w:rsid w:val="00CC1E5D"/>
    <w:rsid w:val="00D13C44"/>
    <w:rsid w:val="00D975B1"/>
    <w:rsid w:val="00E00323"/>
    <w:rsid w:val="00E14119"/>
    <w:rsid w:val="00E6778C"/>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2672">
      <w:bodyDiv w:val="1"/>
      <w:marLeft w:val="0"/>
      <w:marRight w:val="0"/>
      <w:marTop w:val="0"/>
      <w:marBottom w:val="0"/>
      <w:divBdr>
        <w:top w:val="none" w:sz="0" w:space="0" w:color="auto"/>
        <w:left w:val="none" w:sz="0" w:space="0" w:color="auto"/>
        <w:bottom w:val="none" w:sz="0" w:space="0" w:color="auto"/>
        <w:right w:val="none" w:sz="0" w:space="0" w:color="auto"/>
      </w:divBdr>
    </w:div>
    <w:div w:id="1247573793">
      <w:bodyDiv w:val="1"/>
      <w:marLeft w:val="0"/>
      <w:marRight w:val="0"/>
      <w:marTop w:val="0"/>
      <w:marBottom w:val="0"/>
      <w:divBdr>
        <w:top w:val="none" w:sz="0" w:space="0" w:color="auto"/>
        <w:left w:val="none" w:sz="0" w:space="0" w:color="auto"/>
        <w:bottom w:val="none" w:sz="0" w:space="0" w:color="auto"/>
        <w:right w:val="none" w:sz="0" w:space="0" w:color="auto"/>
      </w:divBdr>
    </w:div>
    <w:div w:id="194248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2592</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16817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Luffi</cp:lastModifiedBy>
  <cp:revision>6</cp:revision>
  <dcterms:created xsi:type="dcterms:W3CDTF">2018-01-15T22:28:00Z</dcterms:created>
  <dcterms:modified xsi:type="dcterms:W3CDTF">2018-01-18T20:59:00Z</dcterms:modified>
</cp:coreProperties>
</file>